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A1" w:rsidRPr="00645045" w:rsidRDefault="00645045" w:rsidP="00645045">
      <w:pPr>
        <w:pStyle w:val="1"/>
        <w:jc w:val="center"/>
        <w:rPr>
          <w:rFonts w:hint="eastAsia"/>
        </w:rPr>
      </w:pPr>
      <w:r w:rsidRPr="00645045">
        <w:rPr>
          <w:rFonts w:hint="eastAsia"/>
        </w:rPr>
        <w:t xml:space="preserve">PCI </w:t>
      </w:r>
      <w:proofErr w:type="gramStart"/>
      <w:r w:rsidRPr="00645045">
        <w:rPr>
          <w:rFonts w:hint="eastAsia"/>
        </w:rPr>
        <w:t>后抗血小板</w:t>
      </w:r>
      <w:proofErr w:type="gramEnd"/>
      <w:r w:rsidRPr="00645045">
        <w:rPr>
          <w:rFonts w:hint="eastAsia"/>
        </w:rPr>
        <w:t>治疗专家共识</w:t>
      </w:r>
    </w:p>
    <w:p w:rsidR="00645045" w:rsidRPr="00645045" w:rsidRDefault="00645045">
      <w:pPr>
        <w:rPr>
          <w:rFonts w:ascii="微软雅黑" w:eastAsia="微软雅黑" w:hAnsi="微软雅黑" w:hint="eastAsia"/>
          <w:sz w:val="28"/>
          <w:szCs w:val="28"/>
        </w:rPr>
      </w:pPr>
      <w:bookmarkStart w:id="0" w:name="_GoBack"/>
      <w:bookmarkEnd w:id="0"/>
    </w:p>
    <w:p w:rsidR="00645045" w:rsidRPr="00645045" w:rsidRDefault="00645045" w:rsidP="00645045">
      <w:pPr>
        <w:pStyle w:val="2"/>
      </w:pPr>
      <w:r w:rsidRPr="00645045">
        <w:rPr>
          <w:rStyle w:val="a4"/>
          <w:rFonts w:ascii="微软雅黑" w:eastAsia="微软雅黑" w:hAnsi="微软雅黑" w:cs="Helvetica"/>
          <w:color w:val="3E3E3E"/>
          <w:sz w:val="28"/>
          <w:szCs w:val="28"/>
        </w:rPr>
        <w:t>前言</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 xml:space="preserve">2012 年举办的第 65 届世界卫生大会上，194 </w:t>
      </w:r>
      <w:proofErr w:type="gramStart"/>
      <w:r w:rsidRPr="00645045">
        <w:rPr>
          <w:rFonts w:ascii="微软雅黑" w:eastAsia="微软雅黑" w:hAnsi="微软雅黑" w:cs="Helvetica"/>
          <w:color w:val="3E3E3E"/>
          <w:sz w:val="28"/>
          <w:szCs w:val="28"/>
        </w:rPr>
        <w:t>个</w:t>
      </w:r>
      <w:proofErr w:type="gramEnd"/>
      <w:r w:rsidRPr="00645045">
        <w:rPr>
          <w:rFonts w:ascii="微软雅黑" w:eastAsia="微软雅黑" w:hAnsi="微软雅黑" w:cs="Helvetica"/>
          <w:color w:val="3E3E3E"/>
          <w:sz w:val="28"/>
          <w:szCs w:val="28"/>
        </w:rPr>
        <w:t>世界卫生组织（WHO）成员国一致支持到 2025 年将非传染性疾病引发的过早死亡减少 25%。</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心血管疾病是非传染性疾病中致死和致残的主要原因。</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因此，如何有效治疗动脉粥样硬化性冠状动脉疾病（包括 ACS 患者和接受 PCI 的患者）就显得尤为重要。</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强有力的证据支持急性冠脉综合征患者或接受 PCI 的稳定性冠心病患者使用双联抗血小板治疗。</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 xml:space="preserve">而 ACC/AHA 和 ESC 指南推荐使用血小板 P2Y12 受体抑制剂联合阿司匹林，这些推荐主要来自有关药物的 III </w:t>
      </w:r>
      <w:proofErr w:type="gramStart"/>
      <w:r w:rsidRPr="00645045">
        <w:rPr>
          <w:rFonts w:ascii="微软雅黑" w:eastAsia="微软雅黑" w:hAnsi="微软雅黑" w:cs="Helvetica"/>
          <w:color w:val="3E3E3E"/>
          <w:sz w:val="28"/>
          <w:szCs w:val="28"/>
        </w:rPr>
        <w:t>期大型</w:t>
      </w:r>
      <w:proofErr w:type="gramEnd"/>
      <w:r w:rsidRPr="00645045">
        <w:rPr>
          <w:rFonts w:ascii="微软雅黑" w:eastAsia="微软雅黑" w:hAnsi="微软雅黑" w:cs="Helvetica"/>
          <w:color w:val="3E3E3E"/>
          <w:sz w:val="28"/>
          <w:szCs w:val="28"/>
        </w:rPr>
        <w:t>随机对照试验。</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lastRenderedPageBreak/>
        <w:t>此外，PCI 后患者抗血小板药物应答性较差或双联抗血小板期间对血小板对 ADP 高反应活性均会增加缺血事件的风险。</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而许多证据则表明，血小板对 ADP 低反应活性与出血风险增加有关。</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因此，有学者就提出了使用 P2Y12 抑制剂期间血小板反应活性的“治疗窗”。</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然而，血小板反应活性与缺血事件或出血事件的关系有可能受到患者内在血栓形成状态或疾病的影响。</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与大多数心血管药物一样，血小板 P2Y12 受体抑制剂的药代动力学和药效学在不同种族间有明显区别。</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尽管东亚种族人群占据的人口最多（超过 15 亿人），但很少有亚洲的患者参与 P2Y12 抑制剂的相关试验，特别是有关普拉格雷和</w:t>
      </w: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的试验。</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并且有部分研究发现东亚患者在接受抗血栓治疗期间出血性卒中和潜在出血风险的增加，即使在无高血压的情况下也是如此。</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2"/>
      </w:pPr>
      <w:r w:rsidRPr="00645045">
        <w:rPr>
          <w:rStyle w:val="a4"/>
          <w:rFonts w:ascii="微软雅黑" w:eastAsia="微软雅黑" w:hAnsi="微软雅黑" w:cs="Helvetica"/>
          <w:color w:val="3E3E3E"/>
          <w:sz w:val="28"/>
          <w:szCs w:val="28"/>
        </w:rPr>
        <w:lastRenderedPageBreak/>
        <w:t>氯</w:t>
      </w:r>
      <w:proofErr w:type="gramStart"/>
      <w:r w:rsidRPr="00645045">
        <w:rPr>
          <w:rStyle w:val="a4"/>
          <w:rFonts w:ascii="微软雅黑" w:eastAsia="微软雅黑" w:hAnsi="微软雅黑" w:cs="Helvetica"/>
          <w:color w:val="3E3E3E"/>
          <w:sz w:val="28"/>
          <w:szCs w:val="28"/>
        </w:rPr>
        <w:t>吡</w:t>
      </w:r>
      <w:proofErr w:type="gramEnd"/>
      <w:r w:rsidRPr="00645045">
        <w:rPr>
          <w:rStyle w:val="a4"/>
          <w:rFonts w:ascii="微软雅黑" w:eastAsia="微软雅黑" w:hAnsi="微软雅黑" w:cs="Helvetica"/>
          <w:color w:val="3E3E3E"/>
          <w:sz w:val="28"/>
          <w:szCs w:val="28"/>
        </w:rPr>
        <w:t>格雷</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20 年前，氯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格雷取代了</w:t>
      </w:r>
      <w:proofErr w:type="gramStart"/>
      <w:r w:rsidRPr="00645045">
        <w:rPr>
          <w:rFonts w:ascii="微软雅黑" w:eastAsia="微软雅黑" w:hAnsi="微软雅黑" w:cs="Helvetica"/>
          <w:color w:val="3E3E3E"/>
          <w:sz w:val="28"/>
          <w:szCs w:val="28"/>
        </w:rPr>
        <w:t>噻</w:t>
      </w:r>
      <w:proofErr w:type="gramEnd"/>
      <w:r w:rsidRPr="00645045">
        <w:rPr>
          <w:rFonts w:ascii="微软雅黑" w:eastAsia="微软雅黑" w:hAnsi="微软雅黑" w:cs="Helvetica"/>
          <w:color w:val="3E3E3E"/>
          <w:sz w:val="28"/>
          <w:szCs w:val="28"/>
        </w:rPr>
        <w:t>氯匹</w:t>
      </w:r>
      <w:proofErr w:type="gramStart"/>
      <w:r w:rsidRPr="00645045">
        <w:rPr>
          <w:rFonts w:ascii="微软雅黑" w:eastAsia="微软雅黑" w:hAnsi="微软雅黑" w:cs="Helvetica"/>
          <w:color w:val="3E3E3E"/>
          <w:sz w:val="28"/>
          <w:szCs w:val="28"/>
        </w:rPr>
        <w:t>定作</w:t>
      </w:r>
      <w:proofErr w:type="gramEnd"/>
      <w:r w:rsidRPr="00645045">
        <w:rPr>
          <w:rFonts w:ascii="微软雅黑" w:eastAsia="微软雅黑" w:hAnsi="微软雅黑" w:cs="Helvetica"/>
          <w:color w:val="3E3E3E"/>
          <w:sz w:val="28"/>
          <w:szCs w:val="28"/>
        </w:rPr>
        <w:t>为双联抗血小板的一部分来预防支架内血栓，随后被广泛地用于大部分植入冠脉支架的患者。</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格雷对急性冠脉综合征患者有明确的益处，也是这部分患者推荐治疗的一部分。</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作为一种噻吩并吡啶类的前体药物，氯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格雷需要在肝脏中经过两</w:t>
      </w:r>
      <w:proofErr w:type="gramStart"/>
      <w:r w:rsidRPr="00645045">
        <w:rPr>
          <w:rFonts w:ascii="微软雅黑" w:eastAsia="微软雅黑" w:hAnsi="微软雅黑" w:cs="Helvetica"/>
          <w:color w:val="3E3E3E"/>
          <w:sz w:val="28"/>
          <w:szCs w:val="28"/>
        </w:rPr>
        <w:t>步代谢才能</w:t>
      </w:r>
      <w:proofErr w:type="gramEnd"/>
      <w:r w:rsidRPr="00645045">
        <w:rPr>
          <w:rFonts w:ascii="微软雅黑" w:eastAsia="微软雅黑" w:hAnsi="微软雅黑" w:cs="Helvetica"/>
          <w:color w:val="3E3E3E"/>
          <w:sz w:val="28"/>
          <w:szCs w:val="28"/>
        </w:rPr>
        <w:t>转化为有活性的代谢产物 R-130964，通过生物转换，R-130964 不可逆性地抑制血小板聚集。</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有许多表观遗传因子会影响氯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格雷活性代谢产物的产生和血小板反应活性的表型。</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但细胞色素酶 P450（CYP）等位基因的变异，特别是 CYP2C19 的影响最大，而这些因素在临床中的重要性也是许多研究和争论的重点。</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2"/>
      </w:pPr>
      <w:r w:rsidRPr="00645045">
        <w:rPr>
          <w:rStyle w:val="a4"/>
          <w:rFonts w:ascii="微软雅黑" w:eastAsia="微软雅黑" w:hAnsi="微软雅黑" w:cs="Helvetica"/>
          <w:color w:val="3E3E3E"/>
          <w:sz w:val="28"/>
          <w:szCs w:val="28"/>
        </w:rPr>
        <w:t>普拉格雷</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lastRenderedPageBreak/>
        <w:t>普拉格雷是另一类不可逆转地抑制血小板聚集的噻吩并吡啶类药物，该药的代谢为活性产物需要一步 CYP 依赖的氧化激活步骤。</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由于普拉格雷可快速高效地转变为活性代谢产物，因此，与氯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格雷相比，普拉格雷可更快更大程度地抑制血小板，且患者之间的疗效差异较小。</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2"/>
      </w:pPr>
      <w:proofErr w:type="gramStart"/>
      <w:r w:rsidRPr="00645045">
        <w:rPr>
          <w:rStyle w:val="a4"/>
          <w:rFonts w:ascii="微软雅黑" w:eastAsia="微软雅黑" w:hAnsi="微软雅黑" w:cs="Helvetica"/>
          <w:color w:val="3E3E3E"/>
          <w:sz w:val="28"/>
          <w:szCs w:val="28"/>
        </w:rPr>
        <w:t>替格瑞洛</w:t>
      </w:r>
      <w:proofErr w:type="gramEnd"/>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是一种非噻吩并吡啶类药物，它可直接口服发挥作用并可逆性地抑制 P2Y12 受体抑制剂。</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代谢产物 AR-C124910XX 主要由 CYP3A4 形成，与</w:t>
      </w: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具有同样的活性。</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与氯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格雷相比，</w:t>
      </w: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可更快更大程度地抑制血小板，且对患者之间的差异较小（与普拉格雷相似）。</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2"/>
      </w:pPr>
      <w:r w:rsidRPr="00645045">
        <w:rPr>
          <w:rStyle w:val="a4"/>
          <w:rFonts w:ascii="微软雅黑" w:eastAsia="微软雅黑" w:hAnsi="微软雅黑" w:cs="Helvetica"/>
          <w:color w:val="3E3E3E"/>
          <w:sz w:val="28"/>
          <w:szCs w:val="28"/>
        </w:rPr>
        <w:t>欧美指南的推荐</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lastRenderedPageBreak/>
        <w:t>ACC/AHA 和 ESC 的指南推荐急性冠脉综合征患者或 PCI 患者双联抗血小板治疗使用 P2Y12 受体抑制剂。</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但需要强调的是，这些指南的推荐主要来自有关 P2Y12 受体抑制剂氯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格雷、普拉格雷、</w:t>
      </w: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 xml:space="preserve">的 III </w:t>
      </w:r>
      <w:proofErr w:type="gramStart"/>
      <w:r w:rsidRPr="00645045">
        <w:rPr>
          <w:rFonts w:ascii="微软雅黑" w:eastAsia="微软雅黑" w:hAnsi="微软雅黑" w:cs="Helvetica"/>
          <w:color w:val="3E3E3E"/>
          <w:sz w:val="28"/>
          <w:szCs w:val="28"/>
        </w:rPr>
        <w:t>期大型</w:t>
      </w:r>
      <w:proofErr w:type="gramEnd"/>
      <w:r w:rsidRPr="00645045">
        <w:rPr>
          <w:rFonts w:ascii="微软雅黑" w:eastAsia="微软雅黑" w:hAnsi="微软雅黑" w:cs="Helvetica"/>
          <w:color w:val="3E3E3E"/>
          <w:sz w:val="28"/>
          <w:szCs w:val="28"/>
        </w:rPr>
        <w:t>随机对照试验，而这些试验中只有少部分东亚患者参与。</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目前 ACC/AHA 和 ESC 的指南均未对东亚患者做出任何特殊的推荐。</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2"/>
      </w:pPr>
      <w:r w:rsidRPr="00645045">
        <w:rPr>
          <w:rStyle w:val="a4"/>
          <w:rFonts w:ascii="微软雅黑" w:eastAsia="微软雅黑" w:hAnsi="微软雅黑" w:cs="Helvetica"/>
          <w:color w:val="3E3E3E"/>
          <w:sz w:val="28"/>
          <w:szCs w:val="28"/>
        </w:rPr>
        <w:t>本共识对中国患者的相关推荐</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 xml:space="preserve">在 2004 年 9 月至 2006 年 5 月期间，估计中国有小于 20% 的急性冠脉综合征患者接受了 12 </w:t>
      </w:r>
      <w:proofErr w:type="gramStart"/>
      <w:r w:rsidRPr="00645045">
        <w:rPr>
          <w:rFonts w:ascii="微软雅黑" w:eastAsia="微软雅黑" w:hAnsi="微软雅黑" w:cs="Helvetica"/>
          <w:color w:val="3E3E3E"/>
          <w:sz w:val="28"/>
          <w:szCs w:val="28"/>
        </w:rPr>
        <w:t>个</w:t>
      </w:r>
      <w:proofErr w:type="gramEnd"/>
      <w:r w:rsidRPr="00645045">
        <w:rPr>
          <w:rFonts w:ascii="微软雅黑" w:eastAsia="微软雅黑" w:hAnsi="微软雅黑" w:cs="Helvetica"/>
          <w:color w:val="3E3E3E"/>
          <w:sz w:val="28"/>
          <w:szCs w:val="28"/>
        </w:rPr>
        <w:t>月的双联抗血小板治疗。</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hint="eastAsia"/>
          <w:color w:val="3E3E3E"/>
          <w:sz w:val="28"/>
          <w:szCs w:val="28"/>
        </w:rPr>
      </w:pPr>
      <w:r w:rsidRPr="00645045">
        <w:rPr>
          <w:rFonts w:ascii="微软雅黑" w:eastAsia="微软雅黑" w:hAnsi="微软雅黑" w:cs="Helvetica"/>
          <w:color w:val="3E3E3E"/>
          <w:sz w:val="28"/>
          <w:szCs w:val="28"/>
        </w:rPr>
        <w:t>在一项对亚洲多国急性冠脉综合征患者（大部分为中国人）的大型注册研究中，最后诊断为急性冠脉综合征的患者中有 51.4% 为 ST 段抬高型心肌梗死。</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lastRenderedPageBreak/>
        <w:t>COMMIT 试验中，中国患者中氯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格雷联合阿司匹林的双联抗血小板的获益主要来自于急性心肌梗死，而且主要是 ST 段抬高型心肌梗死，而非接受 PCI 的患者。</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格雷联合阿司匹林治疗可明显减少由死亡、再梗死和卒中组成的主要复合终点，并且不会明显增加出血。</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1.在治疗急性冠脉综合征时，中国的心脏病学家主要遵循 ACC/AHA 制定的相关指南，而中国对急性冠脉综合征患者抗血小板治疗的推荐基本上与 ACC/AHA 相似。</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2. 对于接受双联抗血小板治疗的东亚患者，不推荐常规监测血小板功能。</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3. 对于东亚国家的急性冠脉综合征或 PCI 患者，双联抗血小板的有效性和安全性仍须进一步的评估。</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特别需要对</w:t>
      </w: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和普拉格雷等强效 P2Y12 受体抑制剂的潜在效应进一步评估。</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4. 东亚急性冠脉综合征或 PCI 患者使用阿司匹林的推荐与 ACC/AHA 和 ESC 的指南</w:t>
      </w:r>
      <w:proofErr w:type="gramStart"/>
      <w:r w:rsidRPr="00645045">
        <w:rPr>
          <w:rFonts w:ascii="微软雅黑" w:eastAsia="微软雅黑" w:hAnsi="微软雅黑" w:cs="Helvetica"/>
          <w:color w:val="3E3E3E"/>
          <w:sz w:val="28"/>
          <w:szCs w:val="28"/>
        </w:rPr>
        <w:t>推荐度无明显</w:t>
      </w:r>
      <w:proofErr w:type="gramEnd"/>
      <w:r w:rsidRPr="00645045">
        <w:rPr>
          <w:rFonts w:ascii="微软雅黑" w:eastAsia="微软雅黑" w:hAnsi="微软雅黑" w:cs="Helvetica"/>
          <w:color w:val="3E3E3E"/>
          <w:sz w:val="28"/>
          <w:szCs w:val="28"/>
        </w:rPr>
        <w:t>差异。</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5. 与西方国家相比，东亚国家急性 ST 段抬高型心肌梗死的患病率高于非 ST 段抬高型心肌梗死。</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该发现对东亚患者的抗血小板治疗策略或具有重要启示作用。</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2"/>
      </w:pPr>
      <w:r w:rsidRPr="00645045">
        <w:rPr>
          <w:rStyle w:val="a4"/>
          <w:rFonts w:ascii="微软雅黑" w:eastAsia="微软雅黑" w:hAnsi="微软雅黑" w:cs="Helvetica"/>
          <w:color w:val="3E3E3E"/>
          <w:sz w:val="28"/>
          <w:szCs w:val="28"/>
        </w:rPr>
        <w:t>结语</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目前，除了已发表的 COMMIT 试验外，很少有随机试验评估东亚急性冠脉综合征或 PCI 患者使用 P2Y12 受体抑制剂的安全性和有效性。</w:t>
      </w: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p>
    <w:p w:rsidR="00645045" w:rsidRPr="00645045" w:rsidRDefault="00645045" w:rsidP="00645045">
      <w:pPr>
        <w:pStyle w:val="a3"/>
        <w:shd w:val="clear" w:color="auto" w:fill="FFFFFF"/>
        <w:spacing w:before="0" w:beforeAutospacing="0" w:after="0" w:afterAutospacing="0" w:line="384" w:lineRule="atLeast"/>
        <w:rPr>
          <w:rFonts w:ascii="微软雅黑" w:eastAsia="微软雅黑" w:hAnsi="微软雅黑" w:cs="Helvetica"/>
          <w:color w:val="3E3E3E"/>
          <w:sz w:val="28"/>
          <w:szCs w:val="28"/>
        </w:rPr>
      </w:pPr>
      <w:r w:rsidRPr="00645045">
        <w:rPr>
          <w:rFonts w:ascii="微软雅黑" w:eastAsia="微软雅黑" w:hAnsi="微软雅黑" w:cs="Helvetica"/>
          <w:color w:val="3E3E3E"/>
          <w:sz w:val="28"/>
          <w:szCs w:val="28"/>
        </w:rPr>
        <w:t>对于东亚患者，目前尚无支持普拉格雷或</w:t>
      </w:r>
      <w:proofErr w:type="gramStart"/>
      <w:r w:rsidRPr="00645045">
        <w:rPr>
          <w:rFonts w:ascii="微软雅黑" w:eastAsia="微软雅黑" w:hAnsi="微软雅黑" w:cs="Helvetica"/>
          <w:color w:val="3E3E3E"/>
          <w:sz w:val="28"/>
          <w:szCs w:val="28"/>
        </w:rPr>
        <w:t>替格瑞洛</w:t>
      </w:r>
      <w:proofErr w:type="gramEnd"/>
      <w:r w:rsidRPr="00645045">
        <w:rPr>
          <w:rFonts w:ascii="微软雅黑" w:eastAsia="微软雅黑" w:hAnsi="微软雅黑" w:cs="Helvetica"/>
          <w:color w:val="3E3E3E"/>
          <w:sz w:val="28"/>
          <w:szCs w:val="28"/>
        </w:rPr>
        <w:t>优于氯</w:t>
      </w:r>
      <w:proofErr w:type="gramStart"/>
      <w:r w:rsidRPr="00645045">
        <w:rPr>
          <w:rFonts w:ascii="微软雅黑" w:eastAsia="微软雅黑" w:hAnsi="微软雅黑" w:cs="Helvetica"/>
          <w:color w:val="3E3E3E"/>
          <w:sz w:val="28"/>
          <w:szCs w:val="28"/>
        </w:rPr>
        <w:t>吡</w:t>
      </w:r>
      <w:proofErr w:type="gramEnd"/>
      <w:r w:rsidRPr="00645045">
        <w:rPr>
          <w:rFonts w:ascii="微软雅黑" w:eastAsia="微软雅黑" w:hAnsi="微软雅黑" w:cs="Helvetica"/>
          <w:color w:val="3E3E3E"/>
          <w:sz w:val="28"/>
          <w:szCs w:val="28"/>
        </w:rPr>
        <w:t>格雷的试验数据，这也是将来进一步研究的重要方向。</w:t>
      </w:r>
    </w:p>
    <w:p w:rsidR="00645045" w:rsidRPr="00645045" w:rsidRDefault="00645045">
      <w:pPr>
        <w:rPr>
          <w:rFonts w:ascii="微软雅黑" w:eastAsia="微软雅黑" w:hAnsi="微软雅黑" w:hint="eastAsia"/>
          <w:sz w:val="28"/>
          <w:szCs w:val="28"/>
        </w:rPr>
      </w:pPr>
    </w:p>
    <w:sectPr w:rsidR="00645045" w:rsidRPr="00645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F5"/>
    <w:rsid w:val="00013374"/>
    <w:rsid w:val="00017EB1"/>
    <w:rsid w:val="00050D38"/>
    <w:rsid w:val="00056E7D"/>
    <w:rsid w:val="00077D97"/>
    <w:rsid w:val="000861E9"/>
    <w:rsid w:val="00104F1D"/>
    <w:rsid w:val="001122DE"/>
    <w:rsid w:val="001747CF"/>
    <w:rsid w:val="001A1438"/>
    <w:rsid w:val="001B2AF7"/>
    <w:rsid w:val="001C2FCE"/>
    <w:rsid w:val="001D0AD9"/>
    <w:rsid w:val="001F4E66"/>
    <w:rsid w:val="002308AC"/>
    <w:rsid w:val="00235824"/>
    <w:rsid w:val="002A51AD"/>
    <w:rsid w:val="002B32FB"/>
    <w:rsid w:val="002B59C5"/>
    <w:rsid w:val="002D6991"/>
    <w:rsid w:val="00301C0C"/>
    <w:rsid w:val="00311AF9"/>
    <w:rsid w:val="0032316C"/>
    <w:rsid w:val="00327C36"/>
    <w:rsid w:val="00327F2F"/>
    <w:rsid w:val="0037166D"/>
    <w:rsid w:val="003758C5"/>
    <w:rsid w:val="00386F39"/>
    <w:rsid w:val="003909A9"/>
    <w:rsid w:val="00393E96"/>
    <w:rsid w:val="003C0578"/>
    <w:rsid w:val="003C7C5B"/>
    <w:rsid w:val="003D328C"/>
    <w:rsid w:val="00400FDD"/>
    <w:rsid w:val="0040282B"/>
    <w:rsid w:val="00404A1C"/>
    <w:rsid w:val="00405E76"/>
    <w:rsid w:val="00417FE2"/>
    <w:rsid w:val="00435BD5"/>
    <w:rsid w:val="00437BAE"/>
    <w:rsid w:val="00455C31"/>
    <w:rsid w:val="00470BA5"/>
    <w:rsid w:val="00480EF0"/>
    <w:rsid w:val="004A052A"/>
    <w:rsid w:val="004C6515"/>
    <w:rsid w:val="00535E52"/>
    <w:rsid w:val="005368A9"/>
    <w:rsid w:val="00562D94"/>
    <w:rsid w:val="0058425D"/>
    <w:rsid w:val="0059615E"/>
    <w:rsid w:val="005D2345"/>
    <w:rsid w:val="006019B5"/>
    <w:rsid w:val="006212E2"/>
    <w:rsid w:val="00644C75"/>
    <w:rsid w:val="00645045"/>
    <w:rsid w:val="006A2E00"/>
    <w:rsid w:val="006B7047"/>
    <w:rsid w:val="006D4F88"/>
    <w:rsid w:val="00703619"/>
    <w:rsid w:val="00745653"/>
    <w:rsid w:val="00754051"/>
    <w:rsid w:val="00762B33"/>
    <w:rsid w:val="007725D4"/>
    <w:rsid w:val="00785534"/>
    <w:rsid w:val="0079443B"/>
    <w:rsid w:val="007D5A28"/>
    <w:rsid w:val="00801990"/>
    <w:rsid w:val="00805438"/>
    <w:rsid w:val="008120C2"/>
    <w:rsid w:val="00822555"/>
    <w:rsid w:val="00845368"/>
    <w:rsid w:val="0089468C"/>
    <w:rsid w:val="008A07A1"/>
    <w:rsid w:val="008A2BBD"/>
    <w:rsid w:val="008B132E"/>
    <w:rsid w:val="008C5335"/>
    <w:rsid w:val="00925001"/>
    <w:rsid w:val="009254F5"/>
    <w:rsid w:val="00947071"/>
    <w:rsid w:val="00997547"/>
    <w:rsid w:val="009B2166"/>
    <w:rsid w:val="009C6FD1"/>
    <w:rsid w:val="009D0F37"/>
    <w:rsid w:val="009E0FC6"/>
    <w:rsid w:val="00A04C5F"/>
    <w:rsid w:val="00A27044"/>
    <w:rsid w:val="00AA54D7"/>
    <w:rsid w:val="00AB4884"/>
    <w:rsid w:val="00AD0C5B"/>
    <w:rsid w:val="00AE6E2F"/>
    <w:rsid w:val="00B206B2"/>
    <w:rsid w:val="00B239BE"/>
    <w:rsid w:val="00B322E7"/>
    <w:rsid w:val="00B43499"/>
    <w:rsid w:val="00B4609A"/>
    <w:rsid w:val="00B6434F"/>
    <w:rsid w:val="00B649F2"/>
    <w:rsid w:val="00B74953"/>
    <w:rsid w:val="00B81A4E"/>
    <w:rsid w:val="00BA3190"/>
    <w:rsid w:val="00BA5D30"/>
    <w:rsid w:val="00BB43B7"/>
    <w:rsid w:val="00BB4CC4"/>
    <w:rsid w:val="00BE1851"/>
    <w:rsid w:val="00C26114"/>
    <w:rsid w:val="00C35355"/>
    <w:rsid w:val="00C9548B"/>
    <w:rsid w:val="00CA6CE5"/>
    <w:rsid w:val="00CD3253"/>
    <w:rsid w:val="00D01EBC"/>
    <w:rsid w:val="00D03884"/>
    <w:rsid w:val="00D11B00"/>
    <w:rsid w:val="00D15F4A"/>
    <w:rsid w:val="00D2380E"/>
    <w:rsid w:val="00D43D64"/>
    <w:rsid w:val="00D8765F"/>
    <w:rsid w:val="00DE068B"/>
    <w:rsid w:val="00DE47F9"/>
    <w:rsid w:val="00E00FEB"/>
    <w:rsid w:val="00E02C86"/>
    <w:rsid w:val="00E04ACB"/>
    <w:rsid w:val="00E3589D"/>
    <w:rsid w:val="00E5698E"/>
    <w:rsid w:val="00E86EE3"/>
    <w:rsid w:val="00EA1142"/>
    <w:rsid w:val="00EB6C8F"/>
    <w:rsid w:val="00EE4ACF"/>
    <w:rsid w:val="00F02691"/>
    <w:rsid w:val="00F0463B"/>
    <w:rsid w:val="00F07866"/>
    <w:rsid w:val="00F21C7E"/>
    <w:rsid w:val="00F63D3B"/>
    <w:rsid w:val="00F66ECF"/>
    <w:rsid w:val="00F927A3"/>
    <w:rsid w:val="00FC431A"/>
    <w:rsid w:val="00FC61E7"/>
    <w:rsid w:val="00FD64A8"/>
    <w:rsid w:val="00FE77DE"/>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5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45045"/>
    <w:pPr>
      <w:keepNext/>
      <w:keepLines/>
      <w:spacing w:before="260" w:after="260" w:line="416" w:lineRule="auto"/>
      <w:outlineLvl w:val="1"/>
    </w:pPr>
    <w:rPr>
      <w:rFonts w:asciiTheme="majorHAnsi" w:eastAsiaTheme="majorEastAsia" w:hAnsiTheme="majorHAnsi" w:cstheme="majorBidi"/>
      <w:bCs/>
      <w:sz w:val="32"/>
      <w:szCs w:val="32"/>
    </w:rPr>
  </w:style>
  <w:style w:type="paragraph" w:styleId="3">
    <w:name w:val="heading 3"/>
    <w:basedOn w:val="a"/>
    <w:next w:val="a"/>
    <w:link w:val="3Char"/>
    <w:uiPriority w:val="9"/>
    <w:unhideWhenUsed/>
    <w:qFormat/>
    <w:rsid w:val="006450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0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5045"/>
    <w:rPr>
      <w:b/>
      <w:bCs/>
    </w:rPr>
  </w:style>
  <w:style w:type="character" w:customStyle="1" w:styleId="1Char">
    <w:name w:val="标题 1 Char"/>
    <w:basedOn w:val="a0"/>
    <w:link w:val="1"/>
    <w:uiPriority w:val="9"/>
    <w:rsid w:val="00645045"/>
    <w:rPr>
      <w:b/>
      <w:bCs/>
      <w:kern w:val="44"/>
      <w:sz w:val="44"/>
      <w:szCs w:val="44"/>
    </w:rPr>
  </w:style>
  <w:style w:type="character" w:customStyle="1" w:styleId="2Char">
    <w:name w:val="标题 2 Char"/>
    <w:basedOn w:val="a0"/>
    <w:link w:val="2"/>
    <w:uiPriority w:val="9"/>
    <w:rsid w:val="00645045"/>
    <w:rPr>
      <w:rFonts w:asciiTheme="majorHAnsi" w:eastAsiaTheme="majorEastAsia" w:hAnsiTheme="majorHAnsi" w:cstheme="majorBidi"/>
      <w:bCs/>
      <w:sz w:val="32"/>
      <w:szCs w:val="32"/>
    </w:rPr>
  </w:style>
  <w:style w:type="character" w:customStyle="1" w:styleId="3Char">
    <w:name w:val="标题 3 Char"/>
    <w:basedOn w:val="a0"/>
    <w:link w:val="3"/>
    <w:uiPriority w:val="9"/>
    <w:rsid w:val="0064504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50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45045"/>
    <w:pPr>
      <w:keepNext/>
      <w:keepLines/>
      <w:spacing w:before="260" w:after="260" w:line="416" w:lineRule="auto"/>
      <w:outlineLvl w:val="1"/>
    </w:pPr>
    <w:rPr>
      <w:rFonts w:asciiTheme="majorHAnsi" w:eastAsiaTheme="majorEastAsia" w:hAnsiTheme="majorHAnsi" w:cstheme="majorBidi"/>
      <w:bCs/>
      <w:sz w:val="32"/>
      <w:szCs w:val="32"/>
    </w:rPr>
  </w:style>
  <w:style w:type="paragraph" w:styleId="3">
    <w:name w:val="heading 3"/>
    <w:basedOn w:val="a"/>
    <w:next w:val="a"/>
    <w:link w:val="3Char"/>
    <w:uiPriority w:val="9"/>
    <w:unhideWhenUsed/>
    <w:qFormat/>
    <w:rsid w:val="006450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0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5045"/>
    <w:rPr>
      <w:b/>
      <w:bCs/>
    </w:rPr>
  </w:style>
  <w:style w:type="character" w:customStyle="1" w:styleId="1Char">
    <w:name w:val="标题 1 Char"/>
    <w:basedOn w:val="a0"/>
    <w:link w:val="1"/>
    <w:uiPriority w:val="9"/>
    <w:rsid w:val="00645045"/>
    <w:rPr>
      <w:b/>
      <w:bCs/>
      <w:kern w:val="44"/>
      <w:sz w:val="44"/>
      <w:szCs w:val="44"/>
    </w:rPr>
  </w:style>
  <w:style w:type="character" w:customStyle="1" w:styleId="2Char">
    <w:name w:val="标题 2 Char"/>
    <w:basedOn w:val="a0"/>
    <w:link w:val="2"/>
    <w:uiPriority w:val="9"/>
    <w:rsid w:val="00645045"/>
    <w:rPr>
      <w:rFonts w:asciiTheme="majorHAnsi" w:eastAsiaTheme="majorEastAsia" w:hAnsiTheme="majorHAnsi" w:cstheme="majorBidi"/>
      <w:bCs/>
      <w:sz w:val="32"/>
      <w:szCs w:val="32"/>
    </w:rPr>
  </w:style>
  <w:style w:type="character" w:customStyle="1" w:styleId="3Char">
    <w:name w:val="标题 3 Char"/>
    <w:basedOn w:val="a0"/>
    <w:link w:val="3"/>
    <w:uiPriority w:val="9"/>
    <w:rsid w:val="0064504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6172">
      <w:bodyDiv w:val="1"/>
      <w:marLeft w:val="0"/>
      <w:marRight w:val="0"/>
      <w:marTop w:val="0"/>
      <w:marBottom w:val="0"/>
      <w:divBdr>
        <w:top w:val="none" w:sz="0" w:space="0" w:color="auto"/>
        <w:left w:val="none" w:sz="0" w:space="0" w:color="auto"/>
        <w:bottom w:val="none" w:sz="0" w:space="0" w:color="auto"/>
        <w:right w:val="none" w:sz="0" w:space="0" w:color="auto"/>
      </w:divBdr>
    </w:div>
    <w:div w:id="16682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330</Words>
  <Characters>1882</Characters>
  <Application>Microsoft Office Word</Application>
  <DocSecurity>0</DocSecurity>
  <Lines>15</Lines>
  <Paragraphs>4</Paragraphs>
  <ScaleCrop>false</ScaleCrop>
  <Company>微软中国</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2015-10-19T05:41:00Z</dcterms:created>
  <dcterms:modified xsi:type="dcterms:W3CDTF">2015-10-19T05:44:00Z</dcterms:modified>
</cp:coreProperties>
</file>